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397D" w14:textId="6509A2FF" w:rsidR="00A40615" w:rsidRDefault="000B544C" w:rsidP="00A40615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  <w:r w:rsidRPr="0089544D">
        <w:rPr>
          <w:rFonts w:asciiTheme="minorHAnsi" w:hAnsiTheme="minorHAnsi" w:cstheme="minorHAnsi"/>
          <w:b/>
          <w:iCs/>
          <w:sz w:val="22"/>
          <w:szCs w:val="22"/>
          <w:lang w:val="en-US"/>
        </w:rPr>
        <w:t>Application f</w:t>
      </w:r>
      <w:r w:rsidRPr="00A40615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orm </w:t>
      </w:r>
      <w:r w:rsidR="00916A4E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for the Virtual </w:t>
      </w:r>
      <w:r w:rsidRPr="00A40615">
        <w:rPr>
          <w:rFonts w:asciiTheme="minorHAnsi" w:hAnsiTheme="minorHAnsi" w:cstheme="minorHAnsi"/>
          <w:b/>
          <w:iCs/>
          <w:sz w:val="22"/>
          <w:szCs w:val="22"/>
          <w:lang w:val="en-US"/>
        </w:rPr>
        <w:t>Training school</w:t>
      </w:r>
      <w:r w:rsidR="00A40615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</w:p>
    <w:p w14:paraId="520D84EA" w14:textId="28B70D0C" w:rsidR="00A40615" w:rsidRPr="00A40615" w:rsidRDefault="00A40615" w:rsidP="00A40615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</w:pPr>
      <w:r w:rsidRPr="00A40615">
        <w:rPr>
          <w:rFonts w:asciiTheme="minorHAnsi" w:hAnsiTheme="minorHAnsi" w:cstheme="minorHAnsi"/>
          <w:b/>
          <w:iCs/>
          <w:sz w:val="20"/>
          <w:szCs w:val="20"/>
          <w:lang w:val="en-US"/>
        </w:rPr>
        <w:t>“</w:t>
      </w:r>
      <w:r w:rsidRPr="00A40615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Risk-based Meat Safety Assurance Systems focusing on risk categori</w:t>
      </w:r>
      <w:r w:rsidR="00A71A96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s</w:t>
      </w:r>
      <w:r w:rsidRPr="00A40615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 xml:space="preserve">ation of farms and abattoirs” </w:t>
      </w:r>
    </w:p>
    <w:p w14:paraId="7378FDD8" w14:textId="5AD190E7" w:rsidR="000B544C" w:rsidRPr="00582A9B" w:rsidRDefault="00A40615" w:rsidP="00582A9B">
      <w:pPr>
        <w:jc w:val="center"/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  <w:r w:rsidRPr="00A40615">
        <w:rPr>
          <w:rFonts w:asciiTheme="minorHAnsi" w:hAnsiTheme="minorHAnsi" w:cstheme="minorHAnsi"/>
          <w:b/>
          <w:bCs/>
          <w:iCs/>
          <w:sz w:val="20"/>
          <w:szCs w:val="20"/>
          <w:lang w:val="en-US"/>
        </w:rPr>
        <w:t>(13.-16.06.2023)</w:t>
      </w:r>
    </w:p>
    <w:p w14:paraId="03AF329F" w14:textId="77777777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7335A7A5" w14:textId="1CF1993E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The selected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candidates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will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be potential future leaders and ambassadors for food and meat safety within the veterinary profession. The final group of candidates 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>will have a good gender balance,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regional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/country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representation</w:t>
      </w:r>
      <w:r w:rsidR="0089544D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and work field (e.g. academia/research, industry and competent authorities)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. The candidates shall preferably be early career, which means talented (laudable) graduated veterinarians, willing to put extra efforts into preparation, school attendance and reporting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Examples: Residents ECVPH, PhD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students and postdocs working in relevant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research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projects, as well as dedicated colleagues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from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industry or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competent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authorities.</w:t>
      </w:r>
    </w:p>
    <w:p w14:paraId="6C6D5362" w14:textId="77777777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53BD90EB" w14:textId="4FC5D41D" w:rsidR="000B544C" w:rsidRPr="000B544C" w:rsidRDefault="000B544C" w:rsidP="0089544D">
      <w:pPr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Each candidate submits this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completed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application form plus a 1 page CV to 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>Diana Meemken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(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>diana.meemken@fu-berlin.de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) by </w:t>
      </w:r>
      <w:r w:rsidR="009046CA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M</w:t>
      </w:r>
      <w:r w:rsidR="001149C7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arch</w:t>
      </w:r>
      <w:r w:rsidR="009046CA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1</w:t>
      </w:r>
      <w:r w:rsidR="001149C7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5</w:t>
      </w:r>
      <w:r w:rsidR="009046CA" w:rsidRPr="001149C7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val="en-US"/>
        </w:rPr>
        <w:t>th</w:t>
      </w:r>
      <w:r w:rsidR="009046CA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, 202</w:t>
      </w:r>
      <w:r w:rsidR="00A40615" w:rsidRPr="001149C7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3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</w:t>
      </w:r>
      <w:r w:rsidR="00582A9B" w:rsidRP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When </w:t>
      </w:r>
      <w:r w:rsidR="00582A9B">
        <w:rPr>
          <w:rFonts w:asciiTheme="minorHAnsi" w:hAnsiTheme="minorHAnsi" w:cstheme="minorHAnsi"/>
          <w:iCs/>
          <w:sz w:val="22"/>
          <w:szCs w:val="22"/>
          <w:lang w:val="en-US"/>
        </w:rPr>
        <w:t>applying</w:t>
      </w:r>
      <w:r w:rsidR="00582A9B" w:rsidRP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r w:rsidR="00582A9B">
        <w:rPr>
          <w:rFonts w:asciiTheme="minorHAnsi" w:hAnsiTheme="minorHAnsi" w:cstheme="minorHAnsi"/>
          <w:iCs/>
          <w:sz w:val="22"/>
          <w:szCs w:val="22"/>
          <w:lang w:val="en-US"/>
        </w:rPr>
        <w:t>please make</w:t>
      </w:r>
      <w:r w:rsidR="00582A9B" w:rsidRP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sure that you can attend the full 4 days of the </w:t>
      </w:r>
      <w:r w:rsidR="001149C7">
        <w:rPr>
          <w:rFonts w:asciiTheme="minorHAnsi" w:hAnsiTheme="minorHAnsi" w:cstheme="minorHAnsi"/>
          <w:iCs/>
          <w:sz w:val="22"/>
          <w:szCs w:val="22"/>
          <w:lang w:val="en-US"/>
        </w:rPr>
        <w:t>o</w:t>
      </w:r>
      <w:r w:rsid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nline </w:t>
      </w:r>
      <w:r w:rsidR="001149C7">
        <w:rPr>
          <w:rFonts w:asciiTheme="minorHAnsi" w:hAnsiTheme="minorHAnsi" w:cstheme="minorHAnsi"/>
          <w:iCs/>
          <w:sz w:val="22"/>
          <w:szCs w:val="22"/>
          <w:lang w:val="en-US"/>
        </w:rPr>
        <w:t>t</w:t>
      </w:r>
      <w:r w:rsidR="00582A9B" w:rsidRP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raining </w:t>
      </w:r>
      <w:r w:rsidR="001149C7">
        <w:rPr>
          <w:rFonts w:asciiTheme="minorHAnsi" w:hAnsiTheme="minorHAnsi" w:cstheme="minorHAnsi"/>
          <w:iCs/>
          <w:sz w:val="22"/>
          <w:szCs w:val="22"/>
          <w:lang w:val="en-US"/>
        </w:rPr>
        <w:t>s</w:t>
      </w:r>
      <w:r w:rsidR="00582A9B" w:rsidRPr="00582A9B">
        <w:rPr>
          <w:rFonts w:asciiTheme="minorHAnsi" w:hAnsiTheme="minorHAnsi" w:cstheme="minorHAnsi"/>
          <w:iCs/>
          <w:sz w:val="22"/>
          <w:szCs w:val="22"/>
          <w:lang w:val="en-US"/>
        </w:rPr>
        <w:t>chool.</w:t>
      </w:r>
      <w:r w:rsidR="00582A9B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Applicants ar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 informed of acceptance by </w:t>
      </w:r>
      <w:r w:rsidR="001149C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end of April 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>202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>3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.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A selection committee consisting of RIBMINS core group mem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bers and training school </w:t>
      </w:r>
      <w:r w:rsidR="00916A4E">
        <w:rPr>
          <w:rFonts w:asciiTheme="minorHAnsi" w:hAnsiTheme="minorHAnsi" w:cstheme="minorHAnsi"/>
          <w:iCs/>
          <w:sz w:val="22"/>
          <w:szCs w:val="22"/>
          <w:lang w:val="en-US"/>
        </w:rPr>
        <w:t>organiz</w:t>
      </w:r>
      <w:r w:rsidR="00916A4E" w:rsidRPr="000B544C">
        <w:rPr>
          <w:rFonts w:asciiTheme="minorHAnsi" w:hAnsiTheme="minorHAnsi" w:cstheme="minorHAnsi"/>
          <w:iCs/>
          <w:sz w:val="22"/>
          <w:szCs w:val="22"/>
          <w:lang w:val="en-US"/>
        </w:rPr>
        <w:t>ers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="00FD62D7">
        <w:rPr>
          <w:rFonts w:asciiTheme="minorHAnsi" w:hAnsiTheme="minorHAnsi" w:cstheme="minorHAnsi"/>
          <w:iCs/>
          <w:sz w:val="22"/>
          <w:szCs w:val="22"/>
          <w:lang w:val="en-US"/>
        </w:rPr>
        <w:t>will shortlist the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candidates considering the aforementioned criteria. The 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>online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training school is fr</w:t>
      </w:r>
      <w:r w:rsidR="009046CA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ee of charge and can accept 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>50 participants</w:t>
      </w:r>
      <w:r w:rsidR="00A40615">
        <w:rPr>
          <w:rFonts w:asciiTheme="minorHAnsi" w:hAnsiTheme="minorHAnsi" w:cstheme="minorHAnsi"/>
          <w:iCs/>
          <w:sz w:val="22"/>
          <w:szCs w:val="22"/>
          <w:lang w:val="en-US"/>
        </w:rPr>
        <w:t>.</w:t>
      </w:r>
      <w:r w:rsidRPr="000B544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Any persons not selected and any other interested parties can benefit from recordings that will be made available after the training school.</w:t>
      </w:r>
    </w:p>
    <w:p w14:paraId="2A6D6CC0" w14:textId="77777777" w:rsidR="000B544C" w:rsidRPr="000B544C" w:rsidRDefault="000B544C" w:rsidP="000B544C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374"/>
      </w:tblGrid>
      <w:tr w:rsidR="00FD62D7" w14:paraId="05A5177F" w14:textId="77777777" w:rsidTr="000F1422">
        <w:tc>
          <w:tcPr>
            <w:tcW w:w="2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29B2D" w14:textId="3752A04C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Applicant’s name</w:t>
            </w:r>
            <w:r w:rsidR="001D4F2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and title</w:t>
            </w:r>
          </w:p>
        </w:tc>
        <w:tc>
          <w:tcPr>
            <w:tcW w:w="6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7CF36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44BF26CF" w14:textId="77777777" w:rsidTr="00582A9B">
        <w:tc>
          <w:tcPr>
            <w:tcW w:w="26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3248D" w14:textId="3827A15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DFEA7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6655CD06" w14:textId="77777777" w:rsidTr="00582A9B">
        <w:tc>
          <w:tcPr>
            <w:tcW w:w="26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09A61" w14:textId="3C143E9C" w:rsidR="00FD62D7" w:rsidRDefault="00FD62D7" w:rsidP="00245C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Affiliation</w:t>
            </w:r>
            <w:r w:rsidR="001D2E5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245C56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including</w:t>
            </w:r>
            <w:r w:rsidR="001D2E5F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country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F6A81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293725A7" w14:textId="77777777" w:rsidTr="00582A9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74A42" w14:textId="328E6AB8" w:rsidR="00FD62D7" w:rsidRDefault="00FD62D7" w:rsidP="001D2E5F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Professional position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868BF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D62D7" w14:paraId="0C51871E" w14:textId="77777777" w:rsidTr="00582A9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C4F56" w14:textId="0A4E1B71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B544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Year of graduation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C5DA6" w14:textId="77777777" w:rsidR="00FD62D7" w:rsidRDefault="00FD62D7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6C29673C" w14:textId="3CEFECFB" w:rsidTr="00582A9B">
        <w:trPr>
          <w:trHeight w:val="53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ED18A" w14:textId="5D9AC918" w:rsidR="004B2C6E" w:rsidRDefault="00CD0BB3" w:rsidP="00FA145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Please select 5 of the 10 cases you would most like to participate in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</w:t>
            </w:r>
            <w:r w:rsidR="00582A9B" w:rsidRPr="002B4AA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</w:t>
            </w:r>
            <w:r w:rsidR="008E09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582A9B" w:rsidRPr="002B4AA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1: highest interest, ...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, </w:t>
            </w:r>
            <w:r w:rsidR="00582A9B" w:rsidRPr="002B4AA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5: moderate interest)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. You will find the topics of the 10 cases in 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the programme of 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the afternoon session on 14</w:t>
            </w:r>
            <w:r w:rsidR="00582A9B" w:rsidRPr="00582A9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of June 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2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023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 T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e committee will inform you</w:t>
            </w:r>
            <w:r w:rsidR="008E0980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as</w:t>
            </w:r>
            <w:r w:rsidRPr="00CD0BB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to which case you will be assigned.</w:t>
            </w:r>
            <w:r w:rsidR="002B4AA8" w:rsidRPr="002B4AA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961CB" w14:textId="4D48CAE5" w:rsidR="004B2C6E" w:rsidRDefault="004B2C6E" w:rsidP="00582A9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1</w:t>
            </w:r>
            <w:r w:rsidR="002B4AA8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highest interest)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3D0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3B90150D" w14:textId="1CA78B8E" w:rsidTr="00582A9B">
        <w:trPr>
          <w:trHeight w:val="5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2AF1" w14:textId="2E114C9E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1C65" w14:textId="2B778B9F" w:rsidR="004B2C6E" w:rsidRDefault="004B2C6E" w:rsidP="00582A9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2</w:t>
            </w:r>
            <w:r w:rsidR="001149C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(high interest)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47A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4471B4AD" w14:textId="18E409D1" w:rsidTr="00582A9B">
        <w:trPr>
          <w:trHeight w:val="5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86459" w14:textId="187BA81C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E76D6" w14:textId="3447F384" w:rsidR="004B2C6E" w:rsidRDefault="004B2C6E" w:rsidP="00582A9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3</w:t>
            </w:r>
            <w:r w:rsidR="001149C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(high interest)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946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260E25CB" w14:textId="0F112A36" w:rsidTr="00582A9B">
        <w:trPr>
          <w:trHeight w:val="5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A713E" w14:textId="0387A03D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73662" w14:textId="54160690" w:rsidR="004B2C6E" w:rsidRDefault="004B2C6E" w:rsidP="00582A9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Case 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4 (</w:t>
            </w:r>
            <w:r w:rsidR="001149C7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high interest)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B2F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4B2C6E" w14:paraId="667A04DC" w14:textId="3EF7D6A3" w:rsidTr="00582A9B">
        <w:trPr>
          <w:trHeight w:val="5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A3C83" w14:textId="491B90B5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02DCD" w14:textId="15E790E7" w:rsidR="004B2C6E" w:rsidRDefault="004B2C6E" w:rsidP="00582A9B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Case 5</w:t>
            </w:r>
            <w:r w:rsidR="00582A9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(moderate interest)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3A1" w14:textId="77777777" w:rsidR="004B2C6E" w:rsidRDefault="004B2C6E" w:rsidP="000B544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14:paraId="19FC335A" w14:textId="4BD86818" w:rsidR="004A3D1F" w:rsidRDefault="004A3D1F">
      <w:pPr>
        <w:spacing w:after="200"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br w:type="page"/>
      </w:r>
    </w:p>
    <w:p w14:paraId="393390AA" w14:textId="4730C911" w:rsidR="000B544C" w:rsidRPr="00C26A1E" w:rsidRDefault="000B544C" w:rsidP="00E4079A">
      <w:pPr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  <w:r w:rsidRPr="000B544C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lastRenderedPageBreak/>
        <w:t>Please add a 1</w:t>
      </w:r>
      <w:r w:rsidR="00C26A1E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-</w:t>
      </w:r>
      <w:r w:rsidRPr="000B544C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page CV to your appl</w:t>
      </w:r>
      <w:r w:rsidRPr="00B6155F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ication</w:t>
      </w:r>
      <w:r w:rsidR="00B6155F" w:rsidRPr="00B6155F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&amp; send both pages to </w:t>
      </w:r>
      <w:hyperlink r:id="rId11" w:history="1">
        <w:r w:rsidR="00C26A1E" w:rsidRPr="00087F04">
          <w:rPr>
            <w:rStyle w:val="Hyperlink"/>
            <w:rFonts w:asciiTheme="minorHAnsi" w:hAnsiTheme="minorHAnsi" w:cstheme="minorHAnsi"/>
            <w:b/>
            <w:bCs/>
            <w:i/>
            <w:sz w:val="22"/>
            <w:szCs w:val="22"/>
            <w:lang w:val="en-US"/>
          </w:rPr>
          <w:t>diana.meemken@fu-berlin.de</w:t>
        </w:r>
      </w:hyperlink>
      <w:r w:rsidR="00C26A1E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by March 15</w:t>
      </w:r>
      <w:r w:rsidR="00C26A1E" w:rsidRPr="00C26A1E">
        <w:rPr>
          <w:rFonts w:asciiTheme="minorHAnsi" w:hAnsiTheme="minorHAnsi" w:cstheme="minorHAnsi"/>
          <w:b/>
          <w:bCs/>
          <w:iCs/>
          <w:sz w:val="22"/>
          <w:szCs w:val="22"/>
          <w:vertAlign w:val="superscript"/>
          <w:lang w:val="en-US"/>
        </w:rPr>
        <w:t>th</w:t>
      </w:r>
      <w:r w:rsidR="00C26A1E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, 2023</w:t>
      </w:r>
    </w:p>
    <w:p w14:paraId="094B4ED9" w14:textId="7B4ACA20" w:rsidR="000B544C" w:rsidRPr="006F43C1" w:rsidRDefault="000B544C" w:rsidP="00E4079A">
      <w:pPr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p w14:paraId="7F3923EF" w14:textId="77777777" w:rsidR="004A3D1F" w:rsidRPr="000B544C" w:rsidRDefault="004A3D1F" w:rsidP="00E4079A">
      <w:pPr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</w:p>
    <w:sectPr w:rsidR="004A3D1F" w:rsidRPr="000B544C" w:rsidSect="00236D53">
      <w:headerReference w:type="default" r:id="rId12"/>
      <w:footerReference w:type="default" r:id="rId13"/>
      <w:pgSz w:w="11906" w:h="16838"/>
      <w:pgMar w:top="805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A6EA" w14:textId="77777777" w:rsidR="005549FD" w:rsidRDefault="005549FD" w:rsidP="001616D6">
      <w:r>
        <w:separator/>
      </w:r>
    </w:p>
  </w:endnote>
  <w:endnote w:type="continuationSeparator" w:id="0">
    <w:p w14:paraId="089A25B7" w14:textId="77777777" w:rsidR="005549FD" w:rsidRDefault="005549FD" w:rsidP="001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663" w14:textId="20DE1429" w:rsidR="00245323" w:rsidRDefault="006A4913" w:rsidP="00C923E7">
    <w:pPr>
      <w:pStyle w:val="Fuzeile"/>
      <w:jc w:val="center"/>
      <w:rPr>
        <w:color w:val="A6A6A6" w:themeColor="background1" w:themeShade="A6"/>
      </w:rPr>
    </w:pPr>
    <w:r w:rsidRPr="006A4913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1" locked="0" layoutInCell="1" allowOverlap="1" wp14:anchorId="3B92713E" wp14:editId="4C7B7495">
          <wp:simplePos x="0" y="0"/>
          <wp:positionH relativeFrom="column">
            <wp:posOffset>-889000</wp:posOffset>
          </wp:positionH>
          <wp:positionV relativeFrom="paragraph">
            <wp:posOffset>187960</wp:posOffset>
          </wp:positionV>
          <wp:extent cx="7546975" cy="767715"/>
          <wp:effectExtent l="0" t="0" r="0" b="0"/>
          <wp:wrapTight wrapText="bothSides">
            <wp:wrapPolygon edited="0">
              <wp:start x="1672" y="5717"/>
              <wp:lineTo x="1454" y="7504"/>
              <wp:lineTo x="1454" y="10720"/>
              <wp:lineTo x="1563" y="12149"/>
              <wp:lineTo x="2108" y="15365"/>
              <wp:lineTo x="2145" y="16079"/>
              <wp:lineTo x="5888" y="16079"/>
              <wp:lineTo x="5961" y="14293"/>
              <wp:lineTo x="5489" y="13578"/>
              <wp:lineTo x="3998" y="12149"/>
              <wp:lineTo x="9123" y="11792"/>
              <wp:lineTo x="9123" y="7504"/>
              <wp:lineTo x="3817" y="5717"/>
              <wp:lineTo x="1672" y="5717"/>
            </wp:wrapPolygon>
          </wp:wrapTight>
          <wp:docPr id="3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4"/>
                  <a:stretch/>
                </pic:blipFill>
                <pic:spPr bwMode="auto">
                  <a:xfrm>
                    <a:off x="0" y="0"/>
                    <a:ext cx="7546975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26782" w14:textId="42B124D0" w:rsidR="00245323" w:rsidRPr="00245323" w:rsidRDefault="00245323" w:rsidP="00C923E7">
    <w:pPr>
      <w:pStyle w:val="Fuzeile"/>
      <w:jc w:val="center"/>
      <w:rPr>
        <w:rFonts w:ascii="Calibri" w:hAnsi="Calibri"/>
        <w:color w:val="A6A6A6" w:themeColor="background1" w:themeShade="A6"/>
      </w:rPr>
    </w:pPr>
  </w:p>
  <w:p w14:paraId="6B507230" w14:textId="77777777" w:rsidR="00C923E7" w:rsidRDefault="00C923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9B9" w14:textId="77777777" w:rsidR="005549FD" w:rsidRDefault="005549FD" w:rsidP="001616D6">
      <w:r>
        <w:separator/>
      </w:r>
    </w:p>
  </w:footnote>
  <w:footnote w:type="continuationSeparator" w:id="0">
    <w:p w14:paraId="77435164" w14:textId="77777777" w:rsidR="005549FD" w:rsidRDefault="005549FD" w:rsidP="001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BCC" w14:textId="477E2C1D" w:rsidR="006A4913" w:rsidRDefault="006A4913" w:rsidP="001616D6">
    <w:pPr>
      <w:pStyle w:val="Kopfzeile"/>
    </w:pPr>
    <w:r w:rsidRPr="006A4913">
      <w:rPr>
        <w:noProof/>
      </w:rPr>
      <w:drawing>
        <wp:anchor distT="0" distB="0" distL="114300" distR="114300" simplePos="0" relativeHeight="251662336" behindDoc="1" locked="0" layoutInCell="1" allowOverlap="1" wp14:anchorId="0237FFF8" wp14:editId="648FCD1A">
          <wp:simplePos x="0" y="0"/>
          <wp:positionH relativeFrom="column">
            <wp:posOffset>-906145</wp:posOffset>
          </wp:positionH>
          <wp:positionV relativeFrom="paragraph">
            <wp:posOffset>-457835</wp:posOffset>
          </wp:positionV>
          <wp:extent cx="7564120" cy="1993900"/>
          <wp:effectExtent l="0" t="0" r="0" b="0"/>
          <wp:wrapTight wrapText="bothSides">
            <wp:wrapPolygon edited="0">
              <wp:start x="0" y="0"/>
              <wp:lineTo x="0" y="13483"/>
              <wp:lineTo x="1777" y="17610"/>
              <wp:lineTo x="1813" y="18161"/>
              <wp:lineTo x="10517" y="19261"/>
              <wp:lineTo x="14107" y="19536"/>
              <wp:lineTo x="14398" y="19536"/>
              <wp:lineTo x="19729" y="18023"/>
              <wp:lineTo x="19765" y="14721"/>
              <wp:lineTo x="13890" y="13758"/>
              <wp:lineTo x="6963" y="13208"/>
              <wp:lineTo x="19620" y="12932"/>
              <wp:lineTo x="19837" y="11282"/>
              <wp:lineTo x="19475" y="11006"/>
              <wp:lineTo x="19837" y="10456"/>
              <wp:lineTo x="19656" y="10181"/>
              <wp:lineTo x="11388" y="8805"/>
              <wp:lineTo x="19910" y="138"/>
              <wp:lineTo x="19910" y="0"/>
              <wp:lineTo x="0" y="0"/>
            </wp:wrapPolygon>
          </wp:wrapTight>
          <wp:docPr id="12" name="Grafik 11" descr="A picture containing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0261503-5A12-41AD-BBB8-E3C6398FC6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50261503-5A12-41AD-BBB8-E3C6398FC6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853"/>
                  <a:stretch/>
                </pic:blipFill>
                <pic:spPr bwMode="auto">
                  <a:xfrm>
                    <a:off x="0" y="0"/>
                    <a:ext cx="7564120" cy="199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6D6" w:rsidRPr="001616D6">
      <w:t xml:space="preserve"> </w:t>
    </w:r>
    <w:r w:rsidR="001616D6">
      <w:t xml:space="preserve"> </w:t>
    </w:r>
    <w:r w:rsidR="00236D53">
      <w:t xml:space="preserve">  </w:t>
    </w:r>
  </w:p>
  <w:p w14:paraId="32A3424B" w14:textId="0AAD23E4" w:rsidR="006A4913" w:rsidRDefault="00B06389" w:rsidP="001616D6">
    <w:pPr>
      <w:pStyle w:val="Kopfzeile"/>
    </w:pPr>
    <w:r w:rsidRPr="00B0638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F75CE" wp14:editId="30F97BB4">
              <wp:simplePos x="0" y="0"/>
              <wp:positionH relativeFrom="column">
                <wp:posOffset>3605842</wp:posOffset>
              </wp:positionH>
              <wp:positionV relativeFrom="paragraph">
                <wp:posOffset>1169454</wp:posOffset>
              </wp:positionV>
              <wp:extent cx="2451100" cy="862642"/>
              <wp:effectExtent l="0" t="0" r="0" b="0"/>
              <wp:wrapNone/>
              <wp:docPr id="7" name="Textfeld 6">
                <a:extLst xmlns:a="http://schemas.openxmlformats.org/drawingml/2006/main">
                  <a:ext uri="{FF2B5EF4-FFF2-40B4-BE49-F238E27FC236}">
                    <a16:creationId xmlns:a16="http://schemas.microsoft.com/office/drawing/2014/main" id="{F3D40EA9-CE3A-4C43-B837-E15425888D0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100" cy="86264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4DF395" w14:textId="06844520" w:rsidR="00B06389" w:rsidRDefault="00B06389" w:rsidP="00105316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 w:rsidRPr="0010531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Risk-based meat inspection and integrated meat safety assurance</w:t>
                          </w:r>
                        </w:p>
                        <w:p w14:paraId="1B5C87F0" w14:textId="77777777" w:rsidR="00F36DA1" w:rsidRDefault="00F36DA1" w:rsidP="00105316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</w:p>
                        <w:p w14:paraId="6E0B64A1" w14:textId="3B1BDF41" w:rsidR="008E789C" w:rsidRPr="008E789C" w:rsidRDefault="008E789C" w:rsidP="008E789C">
                          <w:pPr>
                            <w:jc w:val="right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www.ribmins.com</w:t>
                          </w:r>
                        </w:p>
                        <w:p w14:paraId="132ED3E9" w14:textId="77777777" w:rsidR="006A4913" w:rsidRDefault="006A4913"/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F75C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83.9pt;margin-top:92.1pt;width:193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" filled="f" stroked="f">
              <v:textbox>
                <w:txbxContent>
                  <w:p w14:paraId="684DF395" w14:textId="06844520" w:rsidR="00B06389" w:rsidRDefault="00B06389" w:rsidP="00105316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 w:rsidRPr="00105316"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Risk-based meat inspection and integrated meat safety assurance</w:t>
                    </w:r>
                  </w:p>
                  <w:p w14:paraId="1B5C87F0" w14:textId="77777777" w:rsidR="00F36DA1" w:rsidRDefault="00F36DA1" w:rsidP="00105316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</w:p>
                  <w:p w14:paraId="6E0B64A1" w14:textId="3B1BDF41" w:rsidR="008E789C" w:rsidRPr="008E789C" w:rsidRDefault="008E789C" w:rsidP="008E789C">
                    <w:pPr>
                      <w:jc w:val="right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en-US"/>
                      </w:rPr>
                      <w:t>www.ribmins.com</w:t>
                    </w:r>
                  </w:p>
                  <w:p w14:paraId="132ED3E9" w14:textId="77777777" w:rsidR="006A4913" w:rsidRDefault="006A4913"/>
                </w:txbxContent>
              </v:textbox>
            </v:shape>
          </w:pict>
        </mc:Fallback>
      </mc:AlternateContent>
    </w:r>
  </w:p>
  <w:p w14:paraId="188F9EDB" w14:textId="068A8215" w:rsidR="006A4913" w:rsidRDefault="006A4913" w:rsidP="001616D6">
    <w:pPr>
      <w:pStyle w:val="Kopfzeile"/>
    </w:pPr>
  </w:p>
  <w:p w14:paraId="50F13306" w14:textId="70BEA4A9" w:rsidR="001616D6" w:rsidRPr="00245323" w:rsidRDefault="00236D53" w:rsidP="001616D6">
    <w:pPr>
      <w:pStyle w:val="Kopfzeile"/>
      <w:rPr>
        <w:b/>
      </w:rPr>
    </w:pPr>
    <w:r>
      <w:t xml:space="preserve">                                                                       </w:t>
    </w:r>
    <w:r w:rsidR="00E72931">
      <w:t xml:space="preserve">        </w:t>
    </w:r>
    <w:r w:rsidR="00B0615B">
      <w:rPr>
        <w:b/>
        <w:i/>
      </w:rPr>
      <w:t xml:space="preserve">                                </w:t>
    </w:r>
    <w:r w:rsidR="00B0615B">
      <w:t xml:space="preserve">  </w:t>
    </w:r>
  </w:p>
  <w:p w14:paraId="2DE54828" w14:textId="77777777" w:rsidR="008E789C" w:rsidRDefault="00B0615B" w:rsidP="001616D6">
    <w:pPr>
      <w:pStyle w:val="Kopfzeile"/>
      <w:rPr>
        <w:b/>
        <w:i/>
      </w:rPr>
    </w:pPr>
    <w:r>
      <w:rPr>
        <w:b/>
        <w:i/>
      </w:rPr>
      <w:t xml:space="preserve">      </w:t>
    </w:r>
  </w:p>
  <w:p w14:paraId="3FB901A8" w14:textId="77777777" w:rsidR="008E789C" w:rsidRDefault="008E789C" w:rsidP="001616D6">
    <w:pPr>
      <w:pStyle w:val="Kopfzeile"/>
      <w:rPr>
        <w:b/>
        <w:i/>
      </w:rPr>
    </w:pPr>
  </w:p>
  <w:p w14:paraId="503F442C" w14:textId="500DE28C" w:rsidR="00B0615B" w:rsidRPr="00B0615B" w:rsidRDefault="00B0615B" w:rsidP="001616D6">
    <w:pPr>
      <w:pStyle w:val="Kopfzeile"/>
      <w:rPr>
        <w:b/>
        <w:i/>
      </w:rPr>
    </w:pPr>
    <w:r>
      <w:rPr>
        <w:b/>
        <w:i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B0"/>
    <w:multiLevelType w:val="hybridMultilevel"/>
    <w:tmpl w:val="0242FAC2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80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222F96"/>
    <w:multiLevelType w:val="hybridMultilevel"/>
    <w:tmpl w:val="30A825F4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A9F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D43D1E"/>
    <w:multiLevelType w:val="hybridMultilevel"/>
    <w:tmpl w:val="A5D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636C0D"/>
    <w:multiLevelType w:val="hybridMultilevel"/>
    <w:tmpl w:val="FE722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1D3"/>
    <w:multiLevelType w:val="hybridMultilevel"/>
    <w:tmpl w:val="74266F2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17B50"/>
    <w:multiLevelType w:val="hybridMultilevel"/>
    <w:tmpl w:val="3C7E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1651C"/>
    <w:multiLevelType w:val="hybridMultilevel"/>
    <w:tmpl w:val="FF68F8F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F25C8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587B"/>
    <w:multiLevelType w:val="hybridMultilevel"/>
    <w:tmpl w:val="80C2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6637B2"/>
    <w:multiLevelType w:val="hybridMultilevel"/>
    <w:tmpl w:val="DB3AE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C3224"/>
    <w:multiLevelType w:val="hybridMultilevel"/>
    <w:tmpl w:val="633A0294"/>
    <w:lvl w:ilvl="0" w:tplc="16AAF4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0AFB"/>
    <w:multiLevelType w:val="hybridMultilevel"/>
    <w:tmpl w:val="5F826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B1A"/>
    <w:multiLevelType w:val="hybridMultilevel"/>
    <w:tmpl w:val="74E02E3C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6D94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E4734CF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F"/>
    <w:rsid w:val="00011610"/>
    <w:rsid w:val="0001633F"/>
    <w:rsid w:val="00085B25"/>
    <w:rsid w:val="0009470D"/>
    <w:rsid w:val="00097F60"/>
    <w:rsid w:val="000B1939"/>
    <w:rsid w:val="000B3814"/>
    <w:rsid w:val="000B544C"/>
    <w:rsid w:val="000C18D8"/>
    <w:rsid w:val="000F1422"/>
    <w:rsid w:val="00105316"/>
    <w:rsid w:val="001149C7"/>
    <w:rsid w:val="001442D3"/>
    <w:rsid w:val="00156DB9"/>
    <w:rsid w:val="00160FFB"/>
    <w:rsid w:val="001616D6"/>
    <w:rsid w:val="00163EA3"/>
    <w:rsid w:val="00192F14"/>
    <w:rsid w:val="001A1B87"/>
    <w:rsid w:val="001D2E5F"/>
    <w:rsid w:val="001D3946"/>
    <w:rsid w:val="001D4F23"/>
    <w:rsid w:val="00206B4C"/>
    <w:rsid w:val="00236D53"/>
    <w:rsid w:val="00245323"/>
    <w:rsid w:val="00245C56"/>
    <w:rsid w:val="002545DA"/>
    <w:rsid w:val="00296DF3"/>
    <w:rsid w:val="002B4AA8"/>
    <w:rsid w:val="002C6E53"/>
    <w:rsid w:val="002D2855"/>
    <w:rsid w:val="00310488"/>
    <w:rsid w:val="00311E6E"/>
    <w:rsid w:val="00334520"/>
    <w:rsid w:val="003766B5"/>
    <w:rsid w:val="003844A8"/>
    <w:rsid w:val="00385130"/>
    <w:rsid w:val="003B4C7E"/>
    <w:rsid w:val="003C195B"/>
    <w:rsid w:val="003E1BD3"/>
    <w:rsid w:val="004312D0"/>
    <w:rsid w:val="00445F78"/>
    <w:rsid w:val="00447C4E"/>
    <w:rsid w:val="004A36E0"/>
    <w:rsid w:val="004A3D1F"/>
    <w:rsid w:val="004A6BAB"/>
    <w:rsid w:val="004B2C6E"/>
    <w:rsid w:val="004C4FF7"/>
    <w:rsid w:val="005421EA"/>
    <w:rsid w:val="005549FD"/>
    <w:rsid w:val="00582A9B"/>
    <w:rsid w:val="005A4E1A"/>
    <w:rsid w:val="005C253A"/>
    <w:rsid w:val="0065052C"/>
    <w:rsid w:val="006A4913"/>
    <w:rsid w:val="006C7D6C"/>
    <w:rsid w:val="006E18F2"/>
    <w:rsid w:val="006F43C1"/>
    <w:rsid w:val="00733A6B"/>
    <w:rsid w:val="007859E4"/>
    <w:rsid w:val="007E2CF9"/>
    <w:rsid w:val="007F549F"/>
    <w:rsid w:val="00815F30"/>
    <w:rsid w:val="00817122"/>
    <w:rsid w:val="00827C2A"/>
    <w:rsid w:val="0083189C"/>
    <w:rsid w:val="0089544D"/>
    <w:rsid w:val="008971F4"/>
    <w:rsid w:val="008B2A8A"/>
    <w:rsid w:val="008E0980"/>
    <w:rsid w:val="008E0FBE"/>
    <w:rsid w:val="008E789C"/>
    <w:rsid w:val="00903049"/>
    <w:rsid w:val="009046CA"/>
    <w:rsid w:val="00916A4E"/>
    <w:rsid w:val="009233D0"/>
    <w:rsid w:val="009D5126"/>
    <w:rsid w:val="009F343D"/>
    <w:rsid w:val="00A06BA3"/>
    <w:rsid w:val="00A20C2E"/>
    <w:rsid w:val="00A40615"/>
    <w:rsid w:val="00A71A96"/>
    <w:rsid w:val="00A7389C"/>
    <w:rsid w:val="00A8376C"/>
    <w:rsid w:val="00AB7928"/>
    <w:rsid w:val="00AF6D82"/>
    <w:rsid w:val="00B0615B"/>
    <w:rsid w:val="00B06389"/>
    <w:rsid w:val="00B1347A"/>
    <w:rsid w:val="00B51E2D"/>
    <w:rsid w:val="00B574F6"/>
    <w:rsid w:val="00B6155F"/>
    <w:rsid w:val="00B674EF"/>
    <w:rsid w:val="00B8359D"/>
    <w:rsid w:val="00B866C3"/>
    <w:rsid w:val="00BA6351"/>
    <w:rsid w:val="00BF1A52"/>
    <w:rsid w:val="00BF1C59"/>
    <w:rsid w:val="00BF324F"/>
    <w:rsid w:val="00C13C9A"/>
    <w:rsid w:val="00C26A1E"/>
    <w:rsid w:val="00C3755C"/>
    <w:rsid w:val="00C46658"/>
    <w:rsid w:val="00C70F16"/>
    <w:rsid w:val="00C923E7"/>
    <w:rsid w:val="00CA3A14"/>
    <w:rsid w:val="00CA4BF8"/>
    <w:rsid w:val="00CA764A"/>
    <w:rsid w:val="00CA7E63"/>
    <w:rsid w:val="00CD0BB3"/>
    <w:rsid w:val="00CD2896"/>
    <w:rsid w:val="00CE3B94"/>
    <w:rsid w:val="00D2771C"/>
    <w:rsid w:val="00D32CD2"/>
    <w:rsid w:val="00D4308C"/>
    <w:rsid w:val="00D90EE8"/>
    <w:rsid w:val="00D91537"/>
    <w:rsid w:val="00D950B2"/>
    <w:rsid w:val="00DB2ADE"/>
    <w:rsid w:val="00DB4DDF"/>
    <w:rsid w:val="00DB6040"/>
    <w:rsid w:val="00DF3373"/>
    <w:rsid w:val="00E26EFF"/>
    <w:rsid w:val="00E364A3"/>
    <w:rsid w:val="00E4079A"/>
    <w:rsid w:val="00E72931"/>
    <w:rsid w:val="00EA0A8D"/>
    <w:rsid w:val="00EA5B51"/>
    <w:rsid w:val="00EF6B17"/>
    <w:rsid w:val="00F10FB7"/>
    <w:rsid w:val="00F24E84"/>
    <w:rsid w:val="00F25967"/>
    <w:rsid w:val="00F36DA1"/>
    <w:rsid w:val="00F6487A"/>
    <w:rsid w:val="00F669B1"/>
    <w:rsid w:val="00F74BEF"/>
    <w:rsid w:val="00F8427D"/>
    <w:rsid w:val="00FA008A"/>
    <w:rsid w:val="00FA1456"/>
    <w:rsid w:val="00FB5DBA"/>
    <w:rsid w:val="00FD62D7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AA8E"/>
  <w15:docId w15:val="{FD40D59F-6B4D-2B40-BADE-CB4415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4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2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2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6D6"/>
  </w:style>
  <w:style w:type="paragraph" w:styleId="Fuzeile">
    <w:name w:val="footer"/>
    <w:basedOn w:val="Standard"/>
    <w:link w:val="FuzeileZchn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6D6"/>
  </w:style>
  <w:style w:type="paragraph" w:customStyle="1" w:styleId="yiv9470564709msonormal">
    <w:name w:val="yiv9470564709msonormal"/>
    <w:basedOn w:val="Standard"/>
    <w:rsid w:val="00236D5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36D5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27C2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1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17122"/>
  </w:style>
  <w:style w:type="paragraph" w:styleId="StandardWeb">
    <w:name w:val="Normal (Web)"/>
    <w:basedOn w:val="Standard"/>
    <w:uiPriority w:val="99"/>
    <w:unhideWhenUsed/>
    <w:rsid w:val="0024532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A1B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2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na.meemken@fu-berlin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B43306AE28E489B80967CB89E7D1F" ma:contentTypeVersion="9" ma:contentTypeDescription="Create a new document." ma:contentTypeScope="" ma:versionID="ba0c8e6836b694e0c8ed968bc65d48d7">
  <xsd:schema xmlns:xsd="http://www.w3.org/2001/XMLSchema" xmlns:xs="http://www.w3.org/2001/XMLSchema" xmlns:p="http://schemas.microsoft.com/office/2006/metadata/properties" xmlns:ns2="b0aeaae0-da2a-4538-a89d-9076d390a638" targetNamespace="http://schemas.microsoft.com/office/2006/metadata/properties" ma:root="true" ma:fieldsID="481c644bc6ddb5fc879042da418c140c" ns2:_="">
    <xsd:import namespace="b0aeaae0-da2a-4538-a89d-9076d390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ae0-da2a-4538-a89d-9076d390a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FA672-996F-47FE-9F1D-512107249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ECCB-E682-4A91-8525-4953F6E5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ae0-da2a-4538-a89d-9076d390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950E5-DF18-4F67-8454-64FD081B7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EE21D-1E8C-4FB8-9B61-F5133AFF0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Blagojevic</dc:creator>
  <cp:lastModifiedBy>Meemken, Diana</cp:lastModifiedBy>
  <cp:revision>7</cp:revision>
  <cp:lastPrinted>2020-05-07T20:01:00Z</cp:lastPrinted>
  <dcterms:created xsi:type="dcterms:W3CDTF">2023-01-18T11:32:00Z</dcterms:created>
  <dcterms:modified xsi:type="dcterms:W3CDTF">2023-01-18T15:42:00Z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0x010100B0AB43306AE28E489B80967CB89E7D1F</vt:lpwstr>
  </property>
</Properties>
</file>